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09" w:rsidRDefault="00D07B09" w:rsidP="00D07B09">
      <w:pPr>
        <w:shd w:val="clear" w:color="auto" w:fill="FFFFFF"/>
        <w:tabs>
          <w:tab w:val="left" w:pos="709"/>
          <w:tab w:val="left" w:pos="5812"/>
        </w:tabs>
        <w:ind w:left="5954" w:firstLine="709"/>
        <w:rPr>
          <w:bCs/>
          <w:spacing w:val="-2"/>
          <w:szCs w:val="28"/>
        </w:rPr>
      </w:pPr>
      <w:r>
        <w:rPr>
          <w:bCs/>
          <w:spacing w:val="-2"/>
          <w:szCs w:val="28"/>
        </w:rPr>
        <w:t>Утверждён</w:t>
      </w:r>
    </w:p>
    <w:p w:rsidR="00D07B09" w:rsidRDefault="00D07B09" w:rsidP="00D07B09">
      <w:pPr>
        <w:shd w:val="clear" w:color="auto" w:fill="FFFFFF"/>
        <w:tabs>
          <w:tab w:val="left" w:pos="5812"/>
          <w:tab w:val="left" w:pos="6521"/>
        </w:tabs>
        <w:ind w:left="5954"/>
        <w:rPr>
          <w:bCs/>
          <w:spacing w:val="-2"/>
          <w:szCs w:val="28"/>
        </w:rPr>
      </w:pPr>
      <w:r>
        <w:rPr>
          <w:bCs/>
          <w:spacing w:val="-2"/>
          <w:szCs w:val="28"/>
        </w:rPr>
        <w:t>п</w:t>
      </w:r>
      <w:r>
        <w:rPr>
          <w:bCs/>
          <w:spacing w:val="-2"/>
          <w:szCs w:val="28"/>
        </w:rPr>
        <w:t xml:space="preserve">риказом </w:t>
      </w:r>
      <w:proofErr w:type="spellStart"/>
      <w:r>
        <w:rPr>
          <w:bCs/>
          <w:spacing w:val="-2"/>
          <w:szCs w:val="28"/>
        </w:rPr>
        <w:t>Воронежстата</w:t>
      </w:r>
      <w:proofErr w:type="spellEnd"/>
      <w:r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 xml:space="preserve">     </w:t>
      </w:r>
    </w:p>
    <w:p w:rsidR="00D07B09" w:rsidRDefault="00D07B09" w:rsidP="00D07B09">
      <w:pPr>
        <w:shd w:val="clear" w:color="auto" w:fill="FFFFFF"/>
        <w:tabs>
          <w:tab w:val="left" w:pos="5812"/>
          <w:tab w:val="left" w:pos="6521"/>
        </w:tabs>
        <w:ind w:left="5954" w:firstLine="283"/>
        <w:rPr>
          <w:bCs/>
          <w:spacing w:val="-2"/>
          <w:szCs w:val="28"/>
        </w:rPr>
      </w:pPr>
      <w:r w:rsidRPr="00D07B09">
        <w:rPr>
          <w:bCs/>
          <w:spacing w:val="-2"/>
          <w:szCs w:val="28"/>
        </w:rPr>
        <w:t>от 21.10.2013 № 101</w:t>
      </w:r>
    </w:p>
    <w:p w:rsidR="00D07B09" w:rsidRPr="009F2B07" w:rsidRDefault="00D07B09" w:rsidP="00D07B09">
      <w:pPr>
        <w:shd w:val="clear" w:color="auto" w:fill="FFFFFF"/>
        <w:tabs>
          <w:tab w:val="left" w:pos="6645"/>
        </w:tabs>
        <w:ind w:left="5103"/>
        <w:rPr>
          <w:b/>
          <w:bCs/>
          <w:spacing w:val="-2"/>
          <w:sz w:val="16"/>
          <w:szCs w:val="16"/>
        </w:rPr>
      </w:pPr>
    </w:p>
    <w:p w:rsidR="00D07B09" w:rsidRDefault="00D07B09" w:rsidP="00D07B09">
      <w:pPr>
        <w:shd w:val="clear" w:color="auto" w:fill="FFFFFF"/>
        <w:jc w:val="center"/>
        <w:rPr>
          <w:spacing w:val="-3"/>
          <w:szCs w:val="28"/>
        </w:rPr>
      </w:pPr>
      <w:r>
        <w:rPr>
          <w:b/>
          <w:bCs/>
          <w:spacing w:val="-2"/>
          <w:szCs w:val="28"/>
        </w:rPr>
        <w:t xml:space="preserve">Перечень </w:t>
      </w:r>
      <w:proofErr w:type="spellStart"/>
      <w:r>
        <w:rPr>
          <w:b/>
          <w:bCs/>
          <w:spacing w:val="-2"/>
          <w:szCs w:val="28"/>
        </w:rPr>
        <w:t>коррупционно</w:t>
      </w:r>
      <w:proofErr w:type="spellEnd"/>
      <w:r>
        <w:rPr>
          <w:b/>
          <w:bCs/>
          <w:spacing w:val="-2"/>
          <w:szCs w:val="28"/>
        </w:rPr>
        <w:t xml:space="preserve">-опасных функций, возникающих при реализации функций </w:t>
      </w:r>
      <w:proofErr w:type="spellStart"/>
      <w:r>
        <w:rPr>
          <w:b/>
          <w:bCs/>
          <w:spacing w:val="-2"/>
          <w:szCs w:val="28"/>
        </w:rPr>
        <w:t>Воронежстата</w:t>
      </w:r>
      <w:proofErr w:type="spellEnd"/>
    </w:p>
    <w:p w:rsidR="00D07B09" w:rsidRPr="009F2B07" w:rsidRDefault="00D07B09" w:rsidP="00D07B09">
      <w:pPr>
        <w:shd w:val="clear" w:color="auto" w:fill="FFFFFF"/>
        <w:jc w:val="center"/>
        <w:rPr>
          <w:sz w:val="16"/>
          <w:szCs w:val="16"/>
        </w:rPr>
      </w:pPr>
    </w:p>
    <w:p w:rsidR="00D07B09" w:rsidRDefault="00D07B09" w:rsidP="00D07B09">
      <w:pPr>
        <w:shd w:val="clear" w:color="auto" w:fill="FFFFFF"/>
        <w:tabs>
          <w:tab w:val="left" w:pos="1001"/>
        </w:tabs>
        <w:spacing w:before="10" w:line="329" w:lineRule="exact"/>
        <w:ind w:right="48" w:firstLine="567"/>
        <w:jc w:val="both"/>
        <w:rPr>
          <w:szCs w:val="28"/>
        </w:rPr>
      </w:pPr>
      <w:r>
        <w:rPr>
          <w:szCs w:val="28"/>
        </w:rPr>
        <w:t>1. Размещение заказов на поставку товаров, выполнение работ и оказание услуг для государственных нужд;</w:t>
      </w:r>
    </w:p>
    <w:p w:rsidR="00D07B09" w:rsidRDefault="00D07B09" w:rsidP="00D07B09">
      <w:pPr>
        <w:shd w:val="clear" w:color="auto" w:fill="FFFFFF"/>
        <w:tabs>
          <w:tab w:val="left" w:pos="1001"/>
        </w:tabs>
        <w:spacing w:line="329" w:lineRule="exact"/>
        <w:ind w:right="38" w:firstLine="567"/>
        <w:jc w:val="both"/>
        <w:rPr>
          <w:szCs w:val="28"/>
        </w:rPr>
      </w:pPr>
      <w:r>
        <w:rPr>
          <w:szCs w:val="28"/>
        </w:rPr>
        <w:t>2. возбуждение и рассмотрение дел об административных правонарушениях, проведение административного расследования;</w:t>
      </w:r>
      <w:bookmarkStart w:id="0" w:name="_GoBack"/>
      <w:bookmarkEnd w:id="0"/>
    </w:p>
    <w:p w:rsidR="00D07B09" w:rsidRDefault="00D07B09" w:rsidP="00D07B09">
      <w:pPr>
        <w:shd w:val="clear" w:color="auto" w:fill="FFFFFF"/>
        <w:tabs>
          <w:tab w:val="left" w:pos="1001"/>
        </w:tabs>
        <w:spacing w:line="329" w:lineRule="exact"/>
        <w:ind w:right="10" w:firstLine="567"/>
        <w:jc w:val="both"/>
        <w:rPr>
          <w:szCs w:val="28"/>
        </w:rPr>
      </w:pPr>
      <w:r>
        <w:rPr>
          <w:szCs w:val="28"/>
        </w:rPr>
        <w:t>3. представление в судебных органах прав и законных интересов Российской Федерации;</w:t>
      </w:r>
    </w:p>
    <w:p w:rsidR="00D07B09" w:rsidRDefault="00D07B09" w:rsidP="00D07B09">
      <w:pPr>
        <w:shd w:val="clear" w:color="auto" w:fill="FFFFFF"/>
        <w:tabs>
          <w:tab w:val="left" w:pos="1001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>4. предоставление государственных услуг гражданам и организациям;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>5. хранение и распределение материально-технических ресурсов;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>6. разработка и утверждение исходно-разрешительной документации;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>7. работа по оформлению актов комиссий по приёмке в эксплуатацию зданий и сооружений;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 xml:space="preserve">8. организация сбора, обработки информации и разработка отчётности по строительству, реконструкции, ремонту объектов недвижимости, закреплённых за </w:t>
      </w:r>
      <w:proofErr w:type="spellStart"/>
      <w:r>
        <w:rPr>
          <w:szCs w:val="28"/>
        </w:rPr>
        <w:t>Воронежстатом</w:t>
      </w:r>
      <w:proofErr w:type="spellEnd"/>
      <w:r>
        <w:rPr>
          <w:szCs w:val="28"/>
        </w:rPr>
        <w:t xml:space="preserve"> на праве оперативного управления;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 xml:space="preserve">9. организация закупки, списания и выдачи материальных ценностей и основных средств, находящихся на балансе </w:t>
      </w:r>
      <w:proofErr w:type="spellStart"/>
      <w:r>
        <w:rPr>
          <w:szCs w:val="28"/>
        </w:rPr>
        <w:t>Воронежстата</w:t>
      </w:r>
      <w:proofErr w:type="spellEnd"/>
      <w:r>
        <w:rPr>
          <w:szCs w:val="28"/>
        </w:rPr>
        <w:t>, участие в работе по проведению инвентаризации указанных материальных ценностей и основных средств;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 xml:space="preserve">10. организация протокольного обеспечения деятельности </w:t>
      </w:r>
      <w:proofErr w:type="spellStart"/>
      <w:r>
        <w:rPr>
          <w:szCs w:val="28"/>
        </w:rPr>
        <w:t>Воронежстата</w:t>
      </w:r>
      <w:proofErr w:type="spellEnd"/>
      <w:r>
        <w:rPr>
          <w:szCs w:val="28"/>
        </w:rPr>
        <w:t>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 xml:space="preserve">11. организация медицинского и санаторно-курортного обслуживания работников </w:t>
      </w:r>
      <w:proofErr w:type="spellStart"/>
      <w:r>
        <w:rPr>
          <w:szCs w:val="28"/>
        </w:rPr>
        <w:t>Воронежстата</w:t>
      </w:r>
      <w:proofErr w:type="spellEnd"/>
      <w:r>
        <w:rPr>
          <w:szCs w:val="28"/>
        </w:rPr>
        <w:t xml:space="preserve"> и членов их семей;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 xml:space="preserve">12.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заключением договоров аренды зданий, сооружений и земельных участков, закреплённых за </w:t>
      </w:r>
      <w:proofErr w:type="spellStart"/>
      <w:r>
        <w:rPr>
          <w:szCs w:val="28"/>
        </w:rPr>
        <w:t>Воронежстатом</w:t>
      </w:r>
      <w:proofErr w:type="spellEnd"/>
      <w:r>
        <w:rPr>
          <w:szCs w:val="28"/>
        </w:rPr>
        <w:t xml:space="preserve"> на праве оперативного управления, арендная плата  за которые поступает в федеральный бюджет;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 xml:space="preserve">13. подготовка предложений руководству Росстата по распределению и перераспределению в установленном порядке единовременных субсидий, предоставляемых федеральным государственным гражданским служащим </w:t>
      </w:r>
      <w:proofErr w:type="spellStart"/>
      <w:r>
        <w:rPr>
          <w:szCs w:val="28"/>
        </w:rPr>
        <w:t>Воронежстата</w:t>
      </w:r>
      <w:proofErr w:type="spellEnd"/>
      <w:r>
        <w:rPr>
          <w:szCs w:val="28"/>
        </w:rPr>
        <w:t xml:space="preserve"> на приобретение жилых помещений;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 xml:space="preserve">14. осуществление мероприятий, связанных с поступлением на федеральную государственную гражданскую службу в </w:t>
      </w:r>
      <w:proofErr w:type="spellStart"/>
      <w:r>
        <w:rPr>
          <w:szCs w:val="28"/>
        </w:rPr>
        <w:t>Воронежстат</w:t>
      </w:r>
      <w:proofErr w:type="spellEnd"/>
      <w:r>
        <w:rPr>
          <w:szCs w:val="28"/>
        </w:rPr>
        <w:t xml:space="preserve"> и её прохождением, в том числе, участие в заседаниях конкурсных и аттестационных комиссий, а так же в заседаниях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Cs w:val="28"/>
        </w:rPr>
        <w:t>Воронежстата</w:t>
      </w:r>
      <w:proofErr w:type="spellEnd"/>
      <w:r>
        <w:rPr>
          <w:szCs w:val="28"/>
        </w:rPr>
        <w:t xml:space="preserve"> и урегулированию конфликта интересов;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jc w:val="center"/>
        <w:rPr>
          <w:sz w:val="24"/>
          <w:szCs w:val="24"/>
        </w:rPr>
      </w:pPr>
    </w:p>
    <w:p w:rsidR="00D07B09" w:rsidRPr="009F2B07" w:rsidRDefault="00D07B09" w:rsidP="00D07B09">
      <w:pPr>
        <w:shd w:val="clear" w:color="auto" w:fill="FFFFFF"/>
        <w:tabs>
          <w:tab w:val="left" w:pos="1006"/>
        </w:tabs>
        <w:spacing w:line="329" w:lineRule="exact"/>
        <w:jc w:val="center"/>
        <w:rPr>
          <w:sz w:val="24"/>
          <w:szCs w:val="24"/>
        </w:rPr>
      </w:pPr>
      <w:r w:rsidRPr="009F2B07">
        <w:rPr>
          <w:sz w:val="24"/>
          <w:szCs w:val="24"/>
        </w:rPr>
        <w:lastRenderedPageBreak/>
        <w:t>2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15. проведение проверок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 в </w:t>
      </w:r>
      <w:proofErr w:type="spellStart"/>
      <w:r>
        <w:rPr>
          <w:szCs w:val="28"/>
        </w:rPr>
        <w:t>Воронежстате</w:t>
      </w:r>
      <w:proofErr w:type="spellEnd"/>
      <w:r>
        <w:rPr>
          <w:szCs w:val="28"/>
        </w:rPr>
        <w:t xml:space="preserve">, а так же проведение проверок достоверности и полноты сведений о доходах, об имуществе и обязательствах имущественного характера федеральных государственных гражданских служащих </w:t>
      </w:r>
      <w:proofErr w:type="spellStart"/>
      <w:r>
        <w:rPr>
          <w:szCs w:val="28"/>
        </w:rPr>
        <w:t>Воронежстата</w:t>
      </w:r>
      <w:proofErr w:type="spellEnd"/>
      <w:r>
        <w:rPr>
          <w:szCs w:val="28"/>
        </w:rPr>
        <w:t>, их супругов и несовершеннолетних детей.</w:t>
      </w:r>
      <w:proofErr w:type="gramEnd"/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  <w:rPr>
          <w:szCs w:val="28"/>
        </w:rPr>
      </w:pPr>
      <w:r>
        <w:rPr>
          <w:szCs w:val="28"/>
        </w:rPr>
        <w:t>16. организационно-распорядительные функции;</w:t>
      </w:r>
    </w:p>
    <w:p w:rsidR="00D07B09" w:rsidRDefault="00D07B09" w:rsidP="00D07B09">
      <w:pPr>
        <w:shd w:val="clear" w:color="auto" w:fill="FFFFFF"/>
        <w:tabs>
          <w:tab w:val="left" w:pos="1006"/>
        </w:tabs>
        <w:spacing w:line="329" w:lineRule="exact"/>
        <w:ind w:firstLine="567"/>
        <w:jc w:val="both"/>
      </w:pPr>
      <w:r>
        <w:rPr>
          <w:szCs w:val="28"/>
        </w:rPr>
        <w:t>17. сбор, обработка, хранение, передача персональных данных.</w:t>
      </w:r>
      <w:r>
        <w:rPr>
          <w:szCs w:val="28"/>
        </w:rPr>
        <w:br/>
      </w:r>
    </w:p>
    <w:p w:rsidR="00D07B09" w:rsidRDefault="00D07B09" w:rsidP="00D07B09">
      <w:pPr>
        <w:shd w:val="clear" w:color="auto" w:fill="FFFFFF"/>
        <w:spacing w:line="329" w:lineRule="exact"/>
        <w:ind w:left="10"/>
      </w:pPr>
    </w:p>
    <w:p w:rsidR="00D07B09" w:rsidRPr="00926DAA" w:rsidRDefault="00D07B09" w:rsidP="00D07B09"/>
    <w:p w:rsidR="00D07B09" w:rsidRDefault="00D07B09" w:rsidP="00D07B09">
      <w:pPr>
        <w:tabs>
          <w:tab w:val="left" w:pos="3540"/>
        </w:tabs>
      </w:pPr>
      <w:r>
        <w:tab/>
        <w:t>_____________</w:t>
      </w:r>
    </w:p>
    <w:p w:rsidR="00D07B09" w:rsidRDefault="00D07B09" w:rsidP="00D07B09">
      <w:pPr>
        <w:jc w:val="center"/>
        <w:rPr>
          <w:szCs w:val="27"/>
        </w:rPr>
      </w:pPr>
    </w:p>
    <w:p w:rsidR="00D07B09" w:rsidRDefault="00D07B09" w:rsidP="00D07B09">
      <w:pPr>
        <w:jc w:val="center"/>
        <w:rPr>
          <w:szCs w:val="27"/>
        </w:rPr>
      </w:pPr>
    </w:p>
    <w:p w:rsidR="00D138BC" w:rsidRDefault="00D138BC"/>
    <w:sectPr w:rsidR="00D138BC" w:rsidSect="000D71F3"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09"/>
    <w:rsid w:val="00B119CC"/>
    <w:rsid w:val="00D07B09"/>
    <w:rsid w:val="00D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 Бочарова</dc:creator>
  <cp:lastModifiedBy>Нина Николаевна Бочарова</cp:lastModifiedBy>
  <cp:revision>1</cp:revision>
  <dcterms:created xsi:type="dcterms:W3CDTF">2019-10-31T12:37:00Z</dcterms:created>
  <dcterms:modified xsi:type="dcterms:W3CDTF">2019-10-31T12:48:00Z</dcterms:modified>
</cp:coreProperties>
</file>